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9C0E1E">
        <w:rPr>
          <w:rFonts w:cs="Times New Roman"/>
          <w:b/>
          <w:sz w:val="22"/>
          <w:szCs w:val="22"/>
          <w:lang w:val="ru-RU"/>
        </w:rPr>
        <w:fldChar w:fldCharType="separate"/>
      </w:r>
      <w:r w:rsidR="009C0E1E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9C0E1E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C0E1E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9C0E1E">
        <w:rPr>
          <w:rFonts w:cs="Times New Roman"/>
          <w:b/>
          <w:sz w:val="22"/>
          <w:szCs w:val="22"/>
          <w:lang w:val="ru-RU"/>
        </w:rPr>
        <w:fldChar w:fldCharType="separate"/>
      </w:r>
      <w:r w:rsidR="009C0E1E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9C0E1E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C0E1E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9C0E1E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C0E1E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9C0E1E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C0E1E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9C0E1E">
        <w:rPr>
          <w:b/>
          <w:kern w:val="0"/>
          <w:lang w:val="ru-RU" w:eastAsia="en-US" w:bidi="ar-SA"/>
        </w:rPr>
        <w:fldChar w:fldCharType="separate"/>
      </w:r>
      <w:r w:rsidR="009C0E1E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9C0E1E">
        <w:rPr>
          <w:rFonts w:cs="Times New Roman"/>
          <w:b/>
          <w:sz w:val="22"/>
          <w:szCs w:val="22"/>
          <w:lang w:val="ru-RU"/>
        </w:rPr>
        <w:fldChar w:fldCharType="separate"/>
      </w:r>
      <w:r w:rsidR="009C0E1E">
        <w:rPr>
          <w:rFonts w:cs="Times New Roman"/>
          <w:b/>
          <w:sz w:val="22"/>
          <w:szCs w:val="22"/>
          <w:lang w:val="ru-RU"/>
        </w:rPr>
        <w:t>25.02.2022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9C0E1E">
        <w:rPr>
          <w:rFonts w:cs="Times New Roman"/>
          <w:b/>
          <w:sz w:val="22"/>
          <w:szCs w:val="22"/>
          <w:lang w:val="ru-RU"/>
        </w:rPr>
        <w:fldChar w:fldCharType="separate"/>
      </w:r>
      <w:r w:rsidR="009C0E1E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9C0E1E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C0E1E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9C0E1E">
        <w:rPr>
          <w:b/>
          <w:kern w:val="0"/>
          <w:lang w:val="ru-RU" w:eastAsia="en-US" w:bidi="ar-SA"/>
        </w:rPr>
        <w:fldChar w:fldCharType="separate"/>
      </w:r>
      <w:r w:rsidR="009C0E1E">
        <w:rPr>
          <w:b/>
          <w:kern w:val="0"/>
          <w:lang w:val="ru-RU" w:eastAsia="en-US" w:bidi="ar-SA"/>
        </w:rPr>
        <w:t>www.region-am.ru/disclosure/paevye-investitsionnye-fondy/opif-region-dokhodnye-obligatsii/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 w:rsidR="009C0E1E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 w:rsidR="009C0E1E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9C0E1E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15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69,63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"Газпром", 4B02-22-00028-A,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6,77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4,23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8D231C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231C" w:rsidTr="00F2539D">
        <w:tc>
          <w:tcPr>
            <w:tcW w:w="3190" w:type="dxa"/>
          </w:tcPr>
          <w:p w:rsidR="00C26A0D" w:rsidRPr="00407B17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9C0E1E" w:rsidRPr="008D231C" w:rsidTr="00F2539D">
        <w:tc>
          <w:tcPr>
            <w:tcW w:w="3190" w:type="dxa"/>
          </w:tcPr>
          <w:p w:rsidR="009C0E1E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9C0E1E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9C0E1E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9C0E1E" w:rsidRPr="008D231C" w:rsidTr="00F2539D">
        <w:tc>
          <w:tcPr>
            <w:tcW w:w="3190" w:type="dxa"/>
          </w:tcPr>
          <w:p w:rsidR="009C0E1E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9C0E1E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9C0E1E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9C0E1E" w:rsidRPr="008D231C" w:rsidTr="00F2539D">
        <w:tc>
          <w:tcPr>
            <w:tcW w:w="3190" w:type="dxa"/>
          </w:tcPr>
          <w:p w:rsidR="009C0E1E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9C0E1E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9C0E1E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9C0E1E" w:rsidRPr="008D231C" w:rsidTr="00F2539D">
        <w:tc>
          <w:tcPr>
            <w:tcW w:w="3190" w:type="dxa"/>
          </w:tcPr>
          <w:p w:rsidR="009C0E1E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9C0E1E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9C0E1E" w:rsidRDefault="009C0E1E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9C0E1E">
        <w:rPr>
          <w:rFonts w:cs="Times New Roman"/>
          <w:b/>
          <w:sz w:val="22"/>
          <w:szCs w:val="22"/>
          <w:lang w:val="ru-RU"/>
        </w:rPr>
        <w:fldChar w:fldCharType="separate"/>
      </w:r>
      <w:r w:rsidR="009C0E1E">
        <w:rPr>
          <w:rFonts w:cs="Times New Roman"/>
          <w:b/>
          <w:sz w:val="22"/>
          <w:szCs w:val="22"/>
          <w:lang w:val="ru-RU"/>
        </w:rPr>
        <w:t>31.01.2022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9C0E1E" w:rsidRDefault="009C0E1E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9C0E1E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(*) Доходность за 2021 г. за период с 09.02.2021 г. по 31.12.2021 г.</w:t>
      </w:r>
      <w:bookmarkStart w:id="0" w:name="_GoBack"/>
      <w:bookmarkEnd w:id="0"/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-0,61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-1,6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0,51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-2,29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-4,24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C0E1E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1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9C0E1E">
        <w:rPr>
          <w:rFonts w:cs="Times New Roman"/>
          <w:b/>
          <w:sz w:val="22"/>
          <w:szCs w:val="22"/>
          <w:lang w:val="ru-RU"/>
        </w:rPr>
        <w:fldChar w:fldCharType="separate"/>
      </w:r>
      <w:r w:rsidR="009C0E1E">
        <w:rPr>
          <w:rFonts w:cs="Times New Roman"/>
          <w:b/>
          <w:sz w:val="22"/>
          <w:szCs w:val="22"/>
          <w:lang w:val="ru-RU"/>
        </w:rPr>
        <w:t>1 010,32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9C0E1E">
        <w:rPr>
          <w:rFonts w:cs="Times New Roman"/>
          <w:b/>
          <w:sz w:val="22"/>
          <w:szCs w:val="22"/>
          <w:lang w:val="ru-RU"/>
        </w:rPr>
        <w:fldChar w:fldCharType="separate"/>
      </w:r>
      <w:r w:rsidR="009C0E1E">
        <w:rPr>
          <w:rFonts w:cs="Times New Roman"/>
          <w:b/>
          <w:sz w:val="22"/>
          <w:szCs w:val="22"/>
          <w:lang w:val="ru-RU"/>
        </w:rPr>
        <w:t>10 103 248,89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r w:rsidRPr="00407B17">
              <w:rPr>
                <w:rFonts w:cs="Times New Roman"/>
                <w:sz w:val="22"/>
                <w:szCs w:val="22"/>
              </w:rPr>
              <w:lastRenderedPageBreak/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407B17">
              <w:rPr>
                <w:rFonts w:cs="Times New Roman"/>
                <w:sz w:val="22"/>
                <w:szCs w:val="22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C0E1E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9C0E1E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C0E1E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9C0E1E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C0E1E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9C0E1E">
              <w:rPr>
                <w:rFonts w:cs="Times New Roman"/>
                <w:sz w:val="22"/>
                <w:szCs w:val="22"/>
                <w:lang w:val="ru-RU"/>
              </w:rPr>
              <w:t>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C0E1E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C0E1E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9C0E1E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C0E1E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9C0E1E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9C0E1E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9C0E1E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C0E1E">
        <w:rPr>
          <w:b/>
          <w:color w:val="000000"/>
          <w:lang w:val="ru-RU"/>
        </w:rPr>
        <w:fldChar w:fldCharType="separate"/>
      </w:r>
      <w:r w:rsidR="009C0E1E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"РЕГИОН Эссет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9C0E1E">
        <w:rPr>
          <w:b/>
          <w:lang w:val="ru-RU"/>
        </w:rPr>
        <w:fldChar w:fldCharType="separate"/>
      </w:r>
      <w:r w:rsidR="009C0E1E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C0E1E">
        <w:rPr>
          <w:b/>
          <w:kern w:val="0"/>
          <w:lang w:val="ru-RU" w:eastAsia="en-US" w:bidi="ar-SA"/>
        </w:rPr>
        <w:fldChar w:fldCharType="separate"/>
      </w:r>
      <w:r w:rsidR="009C0E1E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C0E1E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C0E1E">
        <w:rPr>
          <w:b/>
          <w:kern w:val="0"/>
          <w:lang w:val="ru-RU" w:eastAsia="en-US" w:bidi="ar-SA"/>
        </w:rPr>
        <w:fldChar w:fldCharType="separate"/>
      </w:r>
      <w:r w:rsidR="009C0E1E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1E" w:rsidRDefault="009C0E1E" w:rsidP="00F2539D">
      <w:r>
        <w:separator/>
      </w:r>
    </w:p>
  </w:endnote>
  <w:endnote w:type="continuationSeparator" w:id="0">
    <w:p w:rsidR="009C0E1E" w:rsidRDefault="009C0E1E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1E" w:rsidRPr="009C0E1E">
          <w:rPr>
            <w:noProof/>
            <w:lang w:val="ru-RU"/>
          </w:rPr>
          <w:t>3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1E" w:rsidRDefault="009C0E1E" w:rsidP="00F2539D">
      <w:r>
        <w:separator/>
      </w:r>
    </w:p>
  </w:footnote>
  <w:footnote w:type="continuationSeparator" w:id="0">
    <w:p w:rsidR="009C0E1E" w:rsidRDefault="009C0E1E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25.02.2022"/>
    <w:docVar w:name="ДатаОкончанияФормированияПИФ" w:val="09.02.2021"/>
    <w:docVar w:name="ДатаПравилПИФ" w:val="21 января 2021"/>
    <w:docVar w:name="ДатаРезультатовИнвестирования" w:val="31.01.2022"/>
    <w:docVar w:name="ДоляКрупнейшегоОбъектаИнвестирования1" w:val="69,63"/>
    <w:docVar w:name="ДоляКрупнейшегоОбъектаИнвестирования2" w:val="7,5"/>
    <w:docVar w:name="ДоляКрупнейшегоОбъектаИнвестирования3" w:val="7,3"/>
    <w:docVar w:name="ДоляКрупнейшегоОбъектаИнвестирования4" w:val="6,77"/>
    <w:docVar w:name="ДоляКрупнейшегоОбъектаИнвестирования5" w:val="4,23"/>
    <w:docVar w:name="Доходность1Год" w:val="-"/>
    <w:docVar w:name="Доходность1Месяц" w:val="-0,61"/>
    <w:docVar w:name="Доходность3Года" w:val="-"/>
    <w:docVar w:name="Доходность3Месяца" w:val="0,51"/>
    <w:docVar w:name="Доходность5Лет" w:val="-"/>
    <w:docVar w:name="Доходность6Месяцев" w:val="0,5"/>
    <w:docVar w:name="КоличествоОбъектовИнвестирования" w:val="15"/>
    <w:docVar w:name="КрупнейшийОбъектИнвестирования1" w:val="облигации, Минфин России, 26209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ОАО &quot;РЖД&quot;, 4B02-07-65045-D-001P, RUB"/>
    <w:docVar w:name="КрупнейшийОбъектИнвестирования4" w:val="облигации, ПАО &quot;Газпром&quot;, 4B02-22-00028-A, RUB"/>
    <w:docVar w:name="КрупнейшийОбъектИнвестирования5" w:val="облигации, Комитет Финансов, RU35003GSP0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"/>
    <w:docVar w:name="ОтклонениеОтИнфляции1Месяц" w:val="-1,6"/>
    <w:docVar w:name="ОтклонениеОтИнфляции3Года" w:val="-"/>
    <w:docVar w:name="ОтклонениеОтИнфляции3Месяца" w:val="-2,29"/>
    <w:docVar w:name="ОтклонениеОтИнфляции5Лет" w:val="-"/>
    <w:docVar w:name="ОтклонениеОтИнфляции6Месяцев" w:val="-4,24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35"/>
    <w:docVar w:name="ПроцентВознагражденияСД" w:val="0,6"/>
    <w:docVar w:name="ПроцентВознагражденияУК" w:val="0,75"/>
    <w:docVar w:name="СтоимостьПая" w:val="1 010,32"/>
    <w:docVar w:name="СЧА" w:val="10 103 248,89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0E1E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1B54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C48B-EA96-468A-99D8-0B223A9C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Головин Андрей Владимирович</cp:lastModifiedBy>
  <cp:revision>1</cp:revision>
  <dcterms:created xsi:type="dcterms:W3CDTF">2022-03-01T09:37:00Z</dcterms:created>
  <dcterms:modified xsi:type="dcterms:W3CDTF">2022-03-01T09:37:00Z</dcterms:modified>
</cp:coreProperties>
</file>